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4.jpg" ContentType="image/jpeg"/>
  <Override PartName="/word/media/rId49.jpg" ContentType="image/jpeg"/>
  <Override PartName="/word/media/rId52.jpg" ContentType="image/jpeg"/>
  <Override PartName="/word/media/rId50.png" ContentType="image/png"/>
  <Override PartName="/word/media/rId51.jpg" ContentType="image/jpeg"/>
  <Override PartName="/word/media/rId5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Sun May 5 10:50:55 2019 -0700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constrained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may be difficult to make if information is unavailable that describes these limitations. Context is required that describes how likely a site is to achieve biological integrity and how bioassessment data collected over multiple locations and times can be used to support decisions or identify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Managing streams in urban or agricultural settings can be costly, success is not universally defined, and achieving regional reference-like conditions may be difficult</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been debated</w:t>
      </w:r>
      <w:r>
        <w:t xml:space="preserve"> </w:t>
      </w:r>
      <w:r>
        <w:t xml:space="preserve">(Cuffney et al.</w:t>
      </w:r>
      <w:r>
        <w:t xml:space="preserve"> </w:t>
      </w:r>
      <w:hyperlink w:anchor="ref-Cuffney11">
        <w:r>
          <w:rPr>
            <w:rStyle w:val="Hyperlink"/>
          </w:rPr>
          <w:t xml:space="preserve">2011</w:t>
        </w:r>
      </w:hyperlink>
      <w:r>
        <w:t xml:space="preserve">)</w:t>
      </w:r>
      <w:r>
        <w:t xml:space="preserve">. Moreover, extensive modifications to streams for flood control or water conveyance are common in developed landscapes. For biological integrity, several states have implemented a tiered aquatic life use or alternative use designations as potential approaches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 Other approaches may include site-specific criteria or alternative thresholds with implementation clarifications (e.g.,</w:t>
      </w:r>
      <w:r>
        <w:t xml:space="preserve"> </w:t>
      </w:r>
      <w:r>
        <w:t xml:space="preserve">Board (</w:t>
      </w:r>
      <w:hyperlink w:anchor="ref-SDWB16">
        <w:r>
          <w:rPr>
            <w:rStyle w:val="Hyperlink"/>
          </w:rPr>
          <w:t xml:space="preserve">2016</w:t>
        </w:r>
      </w:hyperlink>
      <w:r>
        <w:t xml:space="preserve">)</w:t>
      </w:r>
      <w:r>
        <w:t xml:space="preserve">).</w:t>
      </w:r>
    </w:p>
    <w:p>
      <w:pPr>
        <w:pStyle w:val="BodyText"/>
      </w:pPr>
      <w:r>
        <w:t xml:space="preserve">Herein, we define constrained streams as those where present landscapes are likely to limit biological integrity. This definition describes a biological expectation and is distinct from the classical definition used in the general stream ecology literature (e.g., a physically constrained channel in the morphological sense).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 predicted range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The relationship between stream condition and watershed characteristics has been a critical concept for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These approaches can be conceptualized within the Driver-Pressure-Stress-Impact-Response (DPSIR) framework that describes relationships between the origins and consequences of environmental problems</w:t>
      </w:r>
      <w:r>
        <w:t xml:space="preserve"> </w:t>
      </w:r>
      <w:r>
        <w:t xml:space="preserve">(Smeets and Weterings</w:t>
      </w:r>
      <w:r>
        <w:t xml:space="preserve"> </w:t>
      </w:r>
      <w:hyperlink w:anchor="ref-Smeets99">
        <w:r>
          <w:rPr>
            <w:rStyle w:val="Hyperlink"/>
          </w:rPr>
          <w:t xml:space="preserve">1999</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demonstrated how the statewide model could be used to classify and prioritize at the regional scale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A general assumption was that water quality issues could be conceptually linked to societal and economic drivers, reflected through the link between land use and stream biotic integrity (e.g., under the DPSIR framework, Figure</w:t>
      </w:r>
      <w:r>
        <w:t xml:space="preserve"> </w:t>
      </w:r>
      <w:r>
        <w:t xml:space="preserve">2</w:t>
      </w:r>
      <w:r>
        <w:t xml:space="preserve">,</w:t>
      </w:r>
      <w:r>
        <w:t xml:space="preserve"> </w:t>
      </w:r>
      <w:r>
        <w:t xml:space="preserve">Smeets and Weterings (</w:t>
      </w:r>
      <w:hyperlink w:anchor="ref-Smeets99">
        <w:r>
          <w:rPr>
            <w:rStyle w:val="Hyperlink"/>
          </w:rPr>
          <w:t xml:space="preserve">1999</w:t>
        </w:r>
      </w:hyperlink>
      <w:r>
        <w:t xml:space="preserve">)</w:t>
      </w:r>
      <w:r>
        <w:t xml:space="preserve">).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based on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proposed to identify the likelihood of biological alteration</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for applying the landscape model.</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We aggregated data collected under more than 20 federal, state, and regional bioassessment programs. Some of these programs employed a spatially balanced probabilistic design (e.g., the statewide Perennial Stream Assessment</w:t>
      </w:r>
      <w:r>
        <w:t xml:space="preserve"> </w:t>
      </w:r>
      <w:r>
        <w:t xml:space="preserve">(Rehn</w:t>
      </w:r>
      <w:r>
        <w:t xml:space="preserve"> </w:t>
      </w:r>
      <w:hyperlink w:anchor="ref-Rehn15">
        <w:r>
          <w:rPr>
            <w:rStyle w:val="Hyperlink"/>
          </w:rPr>
          <w:t xml:space="preserve">2015</w:t>
        </w:r>
      </w:hyperlink>
      <w:r>
        <w:t xml:space="preserve">)</w:t>
      </w:r>
      <w:r>
        <w:t xml:space="preserve">, or the Stormwater Monitoring Coalition’s survey of southern California streams,</w:t>
      </w:r>
      <w:r>
        <w:t xml:space="preserve"> </w:t>
      </w:r>
      <w:r>
        <w:t xml:space="preserve">Mazor (</w:t>
      </w:r>
      <w:hyperlink w:anchor="ref-Mazor15">
        <w:r>
          <w:rPr>
            <w:rStyle w:val="Hyperlink"/>
          </w:rPr>
          <w:t xml:space="preserve">2015</w:t>
        </w:r>
      </w:hyperlink>
      <w:r>
        <w:t xml:space="preserve">)</w:t>
      </w:r>
      <w:r>
        <w:t xml:space="preserve">), although other programs used different designs for project-specific purposes (such as the statewide Reference Condition Monitoring Program,</w:t>
      </w:r>
      <w:r>
        <w:t xml:space="preserve"> </w:t>
      </w:r>
      <w:r>
        <w:t xml:space="preserve">Ode et al. (</w:t>
      </w:r>
      <w:hyperlink w:anchor="ref-Ode16">
        <w:r>
          <w:rPr>
            <w:rStyle w:val="Hyperlink"/>
          </w:rPr>
          <w:t xml:space="preserve">2016</w:t>
        </w:r>
      </w:hyperlink>
      <w:r>
        <w:t xml:space="preserve">)</w:t>
      </w:r>
      <w:r>
        <w:t xml:space="preserve">). Most of these programs targeted perennial streams, although an unknown number of intermittent streams with flows lasting into the normal sampling period were included</w:t>
      </w:r>
      <w:r>
        <w:t xml:space="preserve"> </w:t>
      </w:r>
      <w:r>
        <w:t xml:space="preserve">(Mazor et al.</w:t>
      </w:r>
      <w:r>
        <w:t xml:space="preserve"> </w:t>
      </w:r>
      <w:hyperlink w:anchor="ref-Mazor14">
        <w:r>
          <w:rPr>
            <w:rStyle w:val="Hyperlink"/>
          </w:rPr>
          <w:t xml:space="preserve">2014</w:t>
        </w:r>
      </w:hyperlink>
      <w:r>
        <w:t xml:space="preserve">)</w:t>
      </w:r>
      <w:r>
        <w:t xml:space="preserve">, particularly in more arid southern California. Because these programs are extensive, most regions and stream-types where perennial wadeable streams are located were represented in the calibration data set.</w:t>
      </w:r>
    </w:p>
    <w:p>
      <w:pPr>
        <w:pStyle w:val="BodyText"/>
      </w:pPr>
      <w:r>
        <w:t xml:space="preserve">Field samples were collected during base flow conditions typically between May and July following methods in</w:t>
      </w:r>
      <w:r>
        <w:t xml:space="preserve"> </w:t>
      </w:r>
      <w:r>
        <w:t xml:space="preserve">Ode, Fetscher, and Busse (</w:t>
      </w:r>
      <w:hyperlink w:anchor="ref-Ode16b">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X85b5c06138aa5178ef8274abe52130fa4d41c8b"/>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much more challenging to manage due to larger spatial scale and associated costs.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statewide validated model (described below) was used to predict percentile expectations of CSCI scores at all stream segments where predictors were available. For example, the 50th percentile prediction was the most likely score for a stream segment given observed values for landscape variables, whereas a lower (e.g., 5th percentile) and upper (95th percentile) bound on the median (and points in between) were also predicted.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(Figure</w:t>
      </w:r>
      <w:r>
        <w:t xml:space="preserve"> </w:t>
      </w:r>
      <w:r>
        <w:t xml:space="preserve">1</w:t>
      </w:r>
      <w:r>
        <w:t xml:space="preserve">). Calibration data for the landscape model were obtained from a random selection of 75% of segments with observed CSCI scores, where the selection was based on a random draw among sites that were grouped into quartiles defined by increasing watershed imperviousness relative to each region (n = 1965 segments). This ensured that the model was calibrated with data that covered the variation of landscape development between regions (i.e., regions with low development were not under-represented and those with high development were not over-represented).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Xc05a6c56ac20bfe687c1728096f6ccaa58b388f"/>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3</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threshold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of expected CSCI scores for the level of landscape development at each segment. Stream segments with the range of CSCI score expectations entirely below the threshold were considered likely constrained, whereas those with expectations entirely above were considered likely unconstrained (Figure</w:t>
      </w:r>
      <w:r>
        <w:t xml:space="preserve"> </w:t>
      </w:r>
      <w:r>
        <w:t xml:space="preserve">3</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3</w:t>
      </w:r>
      <w:r>
        <w:t xml:space="preserve">b) and the CSCI threshold for evaluating the overlap extent (Figure</w:t>
      </w:r>
      <w:r>
        <w:t xml:space="preserve"> </w:t>
      </w:r>
      <w:r>
        <w:t xml:space="preserve">3</w:t>
      </w:r>
      <w:r>
        <w:t xml:space="preserve">c). For the certainty range, this interval does not describe statistical certainty in the traditional sense (e.g., confidence interval), but rather a desired range that is defined as a potentially acceptable lower and upper bound around the median prediction for a CSCI score given landscape development.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3</w:t>
      </w:r>
      <w:r>
        <w:t xml:space="preserve">d).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site was considered as</w:t>
      </w:r>
      <w:r>
        <w:t xml:space="preserve"> </w:t>
      </w:r>
      <w:r>
        <w:t xml:space="preserve">“</w:t>
      </w:r>
      <w:r>
        <w:t xml:space="preserve">expected</w:t>
      </w:r>
      <w:r>
        <w:t xml:space="preserve">”</w:t>
      </w:r>
      <w:r>
        <w:t xml:space="preserve"> </w:t>
      </w:r>
      <w:r>
        <w:t xml:space="preserve">within the context of the landscape model.</w:t>
      </w:r>
    </w:p>
    <w:p>
      <w:pPr>
        <w:pStyle w:val="Heading1"/>
      </w:pPr>
      <w:bookmarkStart w:id="36" w:name="results"/>
      <w:r>
        <w:t xml:space="preserve">Results</w:t>
      </w:r>
      <w:bookmarkEnd w:id="36"/>
    </w:p>
    <w:p>
      <w:pPr>
        <w:pStyle w:val="Heading2"/>
      </w:pPr>
      <w:bookmarkStart w:id="37" w:name="model-performance"/>
      <w:r>
        <w:t xml:space="preserve">Model performance</w:t>
      </w:r>
      <w:bookmarkEnd w:id="37"/>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Figure S2).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3</w:t>
      </w:r>
      <w:r>
        <w:t xml:space="preserve">, Figure S2,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S2).</w:t>
      </w:r>
    </w:p>
    <w:p>
      <w:pPr>
        <w:pStyle w:val="Heading2"/>
      </w:pPr>
      <w:bookmarkStart w:id="38" w:name="statewide-patterns-in-stream-constraints"/>
      <w:r>
        <w:t xml:space="preserve">Statewide patterns in stream constraints</w:t>
      </w:r>
      <w:bookmarkEnd w:id="38"/>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1"/>
      </w:pPr>
      <w:bookmarkStart w:id="39" w:name="discussion"/>
      <w:r>
        <w:t xml:space="preserve">Discussion</w:t>
      </w:r>
      <w:bookmarkEnd w:id="39"/>
    </w:p>
    <w:p>
      <w:pPr>
        <w:pStyle w:val="FirstParagraph"/>
      </w:pPr>
      <w:r>
        <w:t xml:space="preserve">Managing for biological integrity requires the use of 1) assessment tools that can accurately evaluate condition, and 2) tools that can provide a landscape context for evaluating observed conditions. The landscape model was developed with these needs in mind to better inform application of the CSCI for decision-making relative to landscape constraints on biological condition. Statewide application of the model demonstrated where streams are likely constrained on a regional basis, whereas application in a case study (described below)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 </w:t>
      </w:r>
      <w:r>
        <w:t xml:space="preserve">“</w:t>
      </w:r>
      <w:r>
        <w:t xml:space="preserve">biological criteria</w:t>
      </w:r>
      <w:r>
        <w:t xml:space="preserve">”</w:t>
      </w:r>
      <w:r>
        <w:t xml:space="preserve"> </w:t>
      </w:r>
      <w:r>
        <w:t xml:space="preserve">under the Clean Water Act). Management activities for biological integrity could involve the protection of sites meeting biological objectives or the restoration of sites that do not meet biological objectives. The selection of appropriate management actions for streams requires the consideration of the physical and chemical condition of streams concurrent with biological monitoring results. The landscape model can place observed scores in an appropriate context relative to their modeled condition within the landscape.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regulatory actions may be associated with protecting that condition and could be implemented in the short-term to prevent degradation. Moreover, additional actions could be recommended to determine why these sites score above the constrained expectations, such as causal assessments to identify site-specific characteristics contributing to biointegrity (e.g., intact physical habitat independent of landscape development). This flexibility is not intended to exclude sites from consideration that are less likely to achieve biological objectives, but rather to facilitate the decision-making process through a more transparent application of the model in a regulatory application. The landscape model could also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in the regulatory sense,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expectation for the information, enabling the potential for both regulatory and non-regulatory applications.</w:t>
      </w:r>
    </w:p>
    <w:p>
      <w:pPr>
        <w:pStyle w:val="Heading2"/>
      </w:pPr>
      <w:bookmarkStart w:id="40" w:name="X58b2c5e5afb581fa03fb14296175705d714ed91"/>
      <w:r>
        <w:t xml:space="preserve">Case study: Application of the landscape model to the San Gabriel River watershed</w:t>
      </w:r>
      <w:bookmarkEnd w:id="40"/>
    </w:p>
    <w:p>
      <w:pPr>
        <w:pStyle w:val="FirstParagraph"/>
      </w:pPr>
      <w:r>
        <w:t xml:space="preserve">The statewide model only provides landscape context for an observed score, whereas management priorities relative to modelled expectations must be separately defined in a regional context.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Results from the statewide model were used to develop a regional context for observed CSCI scores through local application with a stakeholder group from the San Gabriel River watershed (Los Angeles County, California, Figure S4). Information from the landscape model allowed the stakeholder group to develop management priorities based on the biological expectations (Figure S5).</w:t>
      </w:r>
    </w:p>
    <w:p>
      <w:pPr>
        <w:pStyle w:val="BodyText"/>
      </w:pPr>
      <w:r>
        <w:t xml:space="preserve">The priorities defined by the group were generalized into three categories (Table S1, Figure S6):</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In general, the stakeholder group assigned high priority recommendations to over- and under-scoring sites in likely unconstrained segments or those below the biological threshold with possibly unconstrained classification (Figure S6, Table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landscape model is primarily an exploratory tool to help identify patterns among monitoring sites where more intensive analyses may be appropriate.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characteristics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interests of the San Gabriel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Engagement with the stakeholder group was facilitatied through creation of an interactive and online application, the Stream Classification and Priority Explorer (SCAPE, Figure S7,</w:t>
      </w:r>
      <w:r>
        <w:t xml:space="preserve"> </w:t>
      </w:r>
      <w:hyperlink r:id="rId41">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SCAPE application was used to select and visualize management priorities for all monitoring sites in the San Gabriel watershed (Figure S8) and was also critical for demonstrating how results from the statewide model could be used at a regional scale. The application demonstrated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information (i.e., Figure S5),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Heading2"/>
      </w:pPr>
      <w:bookmarkStart w:id="42" w:name="Xccb9a57635177e36794f6d5487c2edbda3a9ab3"/>
      <w:r>
        <w:t xml:space="preserve">Alternative applications of the landscape model</w:t>
      </w:r>
      <w:bookmarkEnd w:id="42"/>
    </w:p>
    <w:p>
      <w:pPr>
        <w:pStyle w:val="FirstParagraph"/>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As defined for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6</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Ideally, context for evaluating biological condition from a landscape model, in conjunction with reach-specific data on channel modification, should be used.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relative information that helped establish management priorities, demonstrating the potential utility of this approach in other states.</w:t>
      </w:r>
    </w:p>
    <w:p>
      <w:pPr>
        <w:pStyle w:val="Heading1"/>
      </w:pPr>
      <w:bookmarkStart w:id="43" w:name="model-assumptions-and-limitations"/>
      <w:r>
        <w:t xml:space="preserve">Model assumptions and limitations</w:t>
      </w:r>
      <w:bookmarkEnd w:id="43"/>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require long-term extensive mitigation planning, whereas stressors associated with deviations from model predictions can be mitigated in the short-term using focused actions.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Additional analyses that evaluate how different predictors influence model performance at different quantiles could provide insight into how landscape factors relate to constraints</w:t>
      </w:r>
      <w:r>
        <w:t xml:space="preserve"> </w:t>
      </w:r>
      <w:r>
        <w:t xml:space="preserve">(e.g., Koenker and Machado</w:t>
      </w:r>
      <w:r>
        <w:t xml:space="preserve"> </w:t>
      </w:r>
      <w:hyperlink w:anchor="ref-Koenker99">
        <w:r>
          <w:rPr>
            <w:rStyle w:val="Hyperlink"/>
          </w:rPr>
          <w:t xml:space="preserve">1999</w:t>
        </w:r>
      </w:hyperlink>
      <w:r>
        <w:t xml:space="preserve">)</w:t>
      </w:r>
      <w:r>
        <w:t xml:space="preserve">.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 More comprehensive assessments at individual sites may be needed to diagnose the immediate causes of degraded condition.</w:t>
      </w:r>
    </w:p>
    <w:p>
      <w:pPr>
        <w:pStyle w:val="BodyText"/>
      </w:pPr>
      <w:r>
        <w:t xml:space="preserve">An additional consideration in using the landscape model is the meaning of biologically constrained relative to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BodyText"/>
      </w:pPr>
      <w:r>
        <w:t xml:space="preserve">Finally, there are a few concerns applying a landscape modelling approach for bioassessment using the NHD-Plus flowlines as a base layer. We applied our model to the entire network of the NHD-Plus represented in StreamCat, which included a large number of intermittent or ephemeral streams, as well as non-wadeable rivers. Therefore, the application of model results in these stream-types is open to question, valid only to the degree that the CSCI and its response to landscape disturbance can represent more relevant measures of biological integrity. In regions where ephemeral streams are particularly common (e.g., the inland deserts or the South Coast region), estimates of the extent of constrained or unconstrained streams may be inaccurate.</w:t>
      </w:r>
    </w:p>
    <w:p>
      <w:pPr>
        <w:pStyle w:val="Heading2"/>
      </w:pPr>
      <w:bookmarkStart w:id="44" w:name="summary"/>
      <w:r>
        <w:t xml:space="preserve">Summary</w:t>
      </w:r>
      <w:bookmarkEnd w:id="44"/>
    </w:p>
    <w:p>
      <w:pPr>
        <w:pStyle w:val="FirstParagraph"/>
      </w:pPr>
      <w:r>
        <w:t xml:space="preserve">The landscape model can be used to characterize the extent of biologically constrained channels in urban and agricultural landscapes. Our application to the San Gabriel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landscape context and can also inform decisions on extent and effort for future monitoring locations.</w:t>
      </w:r>
    </w:p>
    <w:p>
      <w:pPr>
        <w:pStyle w:val="Heading1"/>
      </w:pPr>
      <w:bookmarkStart w:id="45" w:name="supplement"/>
      <w:r>
        <w:t xml:space="preserve">Supplement</w:t>
      </w:r>
      <w:bookmarkEnd w:id="45"/>
    </w:p>
    <w:p>
      <w:pPr>
        <w:pStyle w:val="FirstParagraph"/>
      </w:pPr>
      <w:r>
        <w:t xml:space="preserve">Geospatial data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41">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of the case study, figures, and tables are available in the supplement.</w:t>
      </w:r>
    </w:p>
    <w:p>
      <w:pPr>
        <w:pStyle w:val="Heading1"/>
      </w:pPr>
      <w:bookmarkStart w:id="46" w:name="author-contributions"/>
      <w:r>
        <w:t xml:space="preserve">Author contributions</w:t>
      </w:r>
      <w:bookmarkEnd w:id="46"/>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7" w:name="acknowledgments"/>
      <w:r>
        <w:t xml:space="preserve">Acknowledgments</w:t>
      </w:r>
      <w:bookmarkEnd w:id="47"/>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8" w:name="figures"/>
      <w:r>
        <w:t xml:space="preserve">Figures</w:t>
      </w:r>
      <w:bookmarkEnd w:id="48"/>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49"/>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5022822"/>
            <wp:effectExtent b="0" l="0" r="0" t="0"/>
            <wp:docPr descr="Figure 2 Conceptualized response and management pathways captured by the landscape model under the Driver-Pressure-Stress-Impact-Response (DPSIR) framework (Smeets and Weterings 1999). Landscape predictors provided in StreamCat (Hill et al. 2017) were used to describe pressures from urban and agricultural development that could impact the macroinvertebrate community in streams by altering physical and chemical habitat. Biological response was measured using the CSCI (Mazor et al. 2016) 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 title="" id="1" name="Picture"/>
            <a:graphic>
              <a:graphicData uri="http://schemas.openxmlformats.org/drawingml/2006/picture">
                <pic:pic>
                  <pic:nvPicPr>
                    <pic:cNvPr descr="figs/dpsirfig.png" id="0" name="Picture"/>
                    <pic:cNvPicPr>
                      <a:picLocks noChangeArrowheads="1" noChangeAspect="1"/>
                    </pic:cNvPicPr>
                  </pic:nvPicPr>
                  <pic:blipFill>
                    <a:blip r:embed="rId50"/>
                    <a:stretch>
                      <a:fillRect/>
                    </a:stretch>
                  </pic:blipFill>
                  <pic:spPr bwMode="auto">
                    <a:xfrm>
                      <a:off x="0" y="0"/>
                      <a:ext cx="5943600" cy="5022822"/>
                    </a:xfrm>
                    <a:prstGeom prst="rect">
                      <a:avLst/>
                    </a:prstGeom>
                    <a:noFill/>
                    <a:ln w="9525">
                      <a:noFill/>
                      <a:headEnd/>
                      <a:tailEnd/>
                    </a:ln>
                  </pic:spPr>
                </pic:pic>
              </a:graphicData>
            </a:graphic>
          </wp:inline>
        </w:drawing>
      </w:r>
    </w:p>
    <w:p>
      <w:pPr>
        <w:pStyle w:val="ImageCaption"/>
      </w:pPr>
      <w:r>
        <w:t xml:space="preserve">Figure 2 Conceptualized response and management pathways captured by the landscape model under the Driver-Pressure-Stress-Impact-Response (DPSIR) framework</w:t>
      </w:r>
      <w:r>
        <w:t xml:space="preserve"> </w:t>
      </w:r>
      <w:r>
        <w:t xml:space="preserve">(Smeets and Weterings</w:t>
      </w:r>
      <w:r>
        <w:t xml:space="preserve"> </w:t>
      </w:r>
      <w:hyperlink w:anchor="ref-Smeets99">
        <w:r>
          <w:rPr>
            <w:rStyle w:val="Hyperlink"/>
          </w:rPr>
          <w:t xml:space="preserve">1999</w:t>
        </w:r>
      </w:hyperlink>
      <w:r>
        <w:t xml:space="preserve">)</w:t>
      </w:r>
      <w:r>
        <w:t xml:space="preserve">. Landscape predictors provided in StreamCat</w:t>
      </w:r>
      <w:r>
        <w:t xml:space="preserve"> </w:t>
      </w:r>
      <w:r>
        <w:t xml:space="preserve">(Hill et al.</w:t>
      </w:r>
      <w:r>
        <w:t xml:space="preserve"> </w:t>
      </w:r>
      <w:hyperlink w:anchor="ref-Hill17">
        <w:r>
          <w:rPr>
            <w:rStyle w:val="Hyperlink"/>
          </w:rPr>
          <w:t xml:space="preserve">2017</w:t>
        </w:r>
      </w:hyperlink>
      <w:r>
        <w:t xml:space="preserve">)</w:t>
      </w:r>
      <w:r>
        <w:t xml:space="preserve"> </w:t>
      </w:r>
      <w:r>
        <w:t xml:space="preserve">were used to describe pressures from urban and agricultural development that could impact the macroinvertebrate community in streams by altering physical and chemical habitat. Biological response was measured using the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w:t>
      </w:r>
    </w:p>
    <w:p>
      <w:pPr>
        <w:pStyle w:val="CaptionedFigure"/>
      </w:pPr>
      <w:r>
        <w:drawing>
          <wp:inline>
            <wp:extent cx="5943600" cy="4754880"/>
            <wp:effectExtent b="0" l="0" r="0" t="0"/>
            <wp:docPr descr="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2"/>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3"/>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9144000"/>
            <wp:effectExtent b="0" l="0" r="0" t="0"/>
            <wp:docPr descr="Figure 6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4"/>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5" w:name="tables"/>
      <w:r>
        <w:t xml:space="preserve">Tables</w:t>
      </w:r>
      <w:bookmarkEnd w:id="55"/>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461"/>
        <w:gridCol w:w="1594"/>
        <w:gridCol w:w="1727"/>
        <w:gridCol w:w="1594"/>
      </w:tblGrid>
      <w:tr>
        <w:trPr>
          <w:cantSplit/>
          <w:trHeight w:val="290"/>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constrained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unconstrained</w:t>
            </w:r>
          </w:p>
        </w:tc>
      </w:tr>
      <w:tr>
        <w:trPr>
          <w:cantSplit/>
          <w:trHeight w:val="47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8150 (4)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24735 (11)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101591 (46)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85317 (39)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3356 (22)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8010 (52)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3202 (21)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951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1642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7840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30693 (50)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21206 (35)</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255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3395 (6)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27194 (47)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26479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1442 (5)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14152 (49)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13286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1067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18228 (48)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19032 (50)</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2770 (15)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2981 (16)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8122 (45)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585"/>
        <w:gridCol w:w="1328"/>
        <w:gridCol w:w="1585"/>
        <w:gridCol w:w="1461"/>
        <w:gridCol w:w="1585"/>
        <w:gridCol w:w="1194"/>
      </w:tblGrid>
      <w:tr>
        <w:trPr>
          <w:cantSplit/>
          <w:trHeight w:val="329"/>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under-scoring</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expected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over-scoring</w:t>
            </w:r>
          </w:p>
        </w:tc>
      </w:tr>
      <w:tr>
        <w:trPr>
          <w:cantSplit/>
          <w:trHeight w:val="48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267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0.83 (0.23)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2041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242 (9)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 (0.18)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0.79 (0.24)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 (7)</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 (0.12)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 (17)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118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0.63 (0.25)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 (1)</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 (14)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228 (82)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 (8)</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 (7)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0.78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656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 (0.2)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97 (12)</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0.67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0.99 (0.11)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415 (77)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1.16 (0.06)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69 (13)</w:t>
            </w:r>
          </w:p>
        </w:tc>
      </w:tr>
    </w:tbl>
    <w:p>
      <w:pPr>
        <w:pStyle w:val="Heading1"/>
      </w:pPr>
      <w:bookmarkStart w:id="56" w:name="references"/>
      <w:r>
        <w:t xml:space="preserve">References</w:t>
      </w:r>
      <w:bookmarkEnd w:id="56"/>
    </w:p>
    <w:bookmarkStart w:id="188" w:name="refs"/>
    <w:bookmarkStart w:id="58"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 149–61.</w:t>
      </w:r>
      <w:r>
        <w:t xml:space="preserve"> </w:t>
      </w:r>
      <w:hyperlink r:id="rId57">
        <w:r>
          <w:rPr>
            <w:rStyle w:val="Hyperlink"/>
          </w:rPr>
          <w:t xml:space="preserve">https://doi.org/10.1046/j.1365-2427.1997.d01-546.x</w:t>
        </w:r>
      </w:hyperlink>
      <w:r>
        <w:t xml:space="preserve">.</w:t>
      </w:r>
    </w:p>
    <w:bookmarkEnd w:id="58"/>
    <w:bookmarkStart w:id="60"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 908–17.</w:t>
      </w:r>
      <w:r>
        <w:t xml:space="preserve"> </w:t>
      </w:r>
      <w:hyperlink r:id="rId59">
        <w:r>
          <w:rPr>
            <w:rStyle w:val="Hyperlink"/>
          </w:rPr>
          <w:t xml:space="preserve">https://doi.org/10.1111/j.1365-2427.2006.01685.x</w:t>
        </w:r>
      </w:hyperlink>
      <w:r>
        <w:t xml:space="preserve">.</w:t>
      </w:r>
    </w:p>
    <w:bookmarkEnd w:id="60"/>
    <w:bookmarkStart w:id="61" w:name="ref-Beck18d"/>
    <w:p>
      <w:pPr>
        <w:pStyle w:val="Bibliography"/>
      </w:pPr>
      <w:r>
        <w:t xml:space="preserve">Beck, M. W. 2018a. “Constrained streams for biological integrity in California. Knowledge Network for Biocomplexity. urn:uuid:75411f50-32ed-42a5-bbfd-26833c7a441f.”</w:t>
      </w:r>
    </w:p>
    <w:bookmarkEnd w:id="61"/>
    <w:bookmarkStart w:id="63" w:name="ref-Beck18c"/>
    <w:p>
      <w:pPr>
        <w:pStyle w:val="Bibliography"/>
      </w:pPr>
      <w:r>
        <w:t xml:space="preserve">———. 2018b. “SCCWRP/SCAPE: v1.0 (Version 1.0). Zenodo,</w:t>
      </w:r>
      <w:r>
        <w:t xml:space="preserve"> </w:t>
      </w:r>
      <w:hyperlink r:id="rId62">
        <w:r>
          <w:rPr>
            <w:rStyle w:val="Hyperlink"/>
          </w:rPr>
          <w:t xml:space="preserve">http://doi.org/10.5281/zenodo.1218121</w:t>
        </w:r>
      </w:hyperlink>
      <w:r>
        <w:t xml:space="preserve">.”</w:t>
      </w:r>
    </w:p>
    <w:bookmarkEnd w:id="63"/>
    <w:bookmarkStart w:id="65"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 891–905.</w:t>
      </w:r>
      <w:r>
        <w:t xml:space="preserve"> </w:t>
      </w:r>
      <w:hyperlink r:id="rId64">
        <w:r>
          <w:rPr>
            <w:rStyle w:val="Hyperlink"/>
          </w:rPr>
          <w:t xml:space="preserve">https://doi.org/10.1577/M06-174.1</w:t>
        </w:r>
      </w:hyperlink>
      <w:r>
        <w:t xml:space="preserve">.</w:t>
      </w:r>
    </w:p>
    <w:bookmarkEnd w:id="65"/>
    <w:bookmarkStart w:id="67"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 482–93.</w:t>
      </w:r>
      <w:r>
        <w:t xml:space="preserve"> </w:t>
      </w:r>
      <w:hyperlink r:id="rId66">
        <w:r>
          <w:rPr>
            <w:rStyle w:val="Hyperlink"/>
          </w:rPr>
          <w:t xml:space="preserve">https://doi.org/10.1111/j.1526-100X.2007.00244.x</w:t>
        </w:r>
      </w:hyperlink>
      <w:r>
        <w:t xml:space="preserve">.</w:t>
      </w:r>
    </w:p>
    <w:bookmarkEnd w:id="67"/>
    <w:bookmarkStart w:id="69"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8">
        <w:r>
          <w:rPr>
            <w:rStyle w:val="Hyperlink"/>
          </w:rPr>
          <w:t xml:space="preserve">https://www.waterboards.ca.gov/sandiego/water_issues/programs/303d_list/docs/Staff_Report_101216.pdf</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 5–32.</w:t>
      </w:r>
    </w:p>
    <w:bookmarkEnd w:id="70"/>
    <w:bookmarkStart w:id="72"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 407–19.</w:t>
      </w:r>
      <w:r>
        <w:t xml:space="preserve"> </w:t>
      </w:r>
      <w:hyperlink r:id="rId71">
        <w:r>
          <w:rPr>
            <w:rStyle w:val="Hyperlink"/>
          </w:rPr>
          <w:t xml:space="preserve">https://doi.org/10.1177/0739456X03022004007</w:t>
        </w:r>
      </w:hyperlink>
      <w:r>
        <w:t xml:space="preserve">.</w:t>
      </w:r>
    </w:p>
    <w:bookmarkEnd w:id="72"/>
    <w:bookmarkStart w:id="74"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 1051–69.</w:t>
      </w:r>
      <w:r>
        <w:t xml:space="preserve"> </w:t>
      </w:r>
      <w:hyperlink r:id="rId73">
        <w:r>
          <w:rPr>
            <w:rStyle w:val="Hyperlink"/>
          </w:rPr>
          <w:t xml:space="preserve">https://doi.org/10.1899/08-153.1</w:t>
        </w:r>
      </w:hyperlink>
      <w:r>
        <w:t xml:space="preserve">.</w:t>
      </w:r>
    </w:p>
    <w:bookmarkEnd w:id="74"/>
    <w:bookmarkStart w:id="76"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 17–27.</w:t>
      </w:r>
      <w:r>
        <w:t xml:space="preserve"> </w:t>
      </w:r>
      <w:hyperlink r:id="rId75">
        <w:r>
          <w:rPr>
            <w:rStyle w:val="Hyperlink"/>
          </w:rPr>
          <w:t xml:space="preserve">https://doi.org/10.1016/j.landurbplan.2012.07.009</w:t>
        </w:r>
      </w:hyperlink>
      <w:r>
        <w:t xml:space="preserve">.</w:t>
      </w:r>
    </w:p>
    <w:bookmarkEnd w:id="76"/>
    <w:bookmarkStart w:id="78"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 4132.</w:t>
      </w:r>
      <w:r>
        <w:t xml:space="preserve"> </w:t>
      </w:r>
      <w:hyperlink r:id="rId77">
        <w:r>
          <w:rPr>
            <w:rStyle w:val="Hyperlink"/>
          </w:rPr>
          <w:t xml:space="preserve">https://doi.org/10.1007/s10661-014-4132-8</w:t>
        </w:r>
      </w:hyperlink>
      <w:r>
        <w:t xml:space="preserve">.</w:t>
      </w:r>
    </w:p>
    <w:bookmarkEnd w:id="78"/>
    <w:bookmarkStart w:id="79"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 412–20.</w:t>
      </w:r>
    </w:p>
    <w:bookmarkEnd w:id="79"/>
    <w:bookmarkStart w:id="81"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 566–85.</w:t>
      </w:r>
      <w:r>
        <w:t xml:space="preserve"> </w:t>
      </w:r>
      <w:hyperlink r:id="rId80">
        <w:r>
          <w:rPr>
            <w:rStyle w:val="Hyperlink"/>
          </w:rPr>
          <w:t xml:space="preserve">https://doi.org/10.1899/06-078.1</w:t>
        </w:r>
      </w:hyperlink>
      <w:r>
        <w:t xml:space="preserve">.</w:t>
      </w:r>
    </w:p>
    <w:bookmarkEnd w:id="81"/>
    <w:bookmarkStart w:id="83"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 731–42.</w:t>
      </w:r>
      <w:r>
        <w:t xml:space="preserve"> </w:t>
      </w:r>
      <w:hyperlink r:id="rId82">
        <w:r>
          <w:rPr>
            <w:rStyle w:val="Hyperlink"/>
          </w:rPr>
          <w:t xml:space="preserve">https://doi.org/10.1111/j.1526-100X.2007.00285.x</w:t>
        </w:r>
      </w:hyperlink>
      <w:r>
        <w:t xml:space="preserve">.</w:t>
      </w:r>
    </w:p>
    <w:bookmarkEnd w:id="83"/>
    <w:bookmarkStart w:id="85"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 143–60.</w:t>
      </w:r>
      <w:r>
        <w:t xml:space="preserve"> </w:t>
      </w:r>
      <w:hyperlink r:id="rId84">
        <w:r>
          <w:rPr>
            <w:rStyle w:val="Hyperlink"/>
          </w:rPr>
          <w:t xml:space="preserve">https://doi.org/10.1007/s10661-008-0256-z</w:t>
        </w:r>
      </w:hyperlink>
      <w:r>
        <w:t xml:space="preserve">.</w:t>
      </w:r>
    </w:p>
    <w:bookmarkEnd w:id="85"/>
    <w:bookmarkStart w:id="87"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 142–51.</w:t>
      </w:r>
      <w:r>
        <w:t xml:space="preserve"> </w:t>
      </w:r>
      <w:hyperlink r:id="rId86">
        <w:r>
          <w:rPr>
            <w:rStyle w:val="Hyperlink"/>
          </w:rPr>
          <w:t xml:space="preserve">https://doi.org/10.1016/j.ecolind.2013.07.006</w:t>
        </w:r>
      </w:hyperlink>
      <w:r>
        <w:t xml:space="preserve">.</w:t>
      </w:r>
    </w:p>
    <w:bookmarkEnd w:id="87"/>
    <w:bookmarkStart w:id="89"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 1261–71.</w:t>
      </w:r>
      <w:r>
        <w:t xml:space="preserve"> </w:t>
      </w:r>
      <w:hyperlink r:id="rId88">
        <w:r>
          <w:rPr>
            <w:rStyle w:val="Hyperlink"/>
          </w:rPr>
          <w:t xml:space="preserve">https://doi.org/10.1086/678701</w:t>
        </w:r>
      </w:hyperlink>
      <w:r>
        <w:t xml:space="preserve">.</w:t>
      </w:r>
    </w:p>
    <w:bookmarkEnd w:id="89"/>
    <w:bookmarkStart w:id="91"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 103–17.</w:t>
      </w:r>
      <w:r>
        <w:t xml:space="preserve"> </w:t>
      </w:r>
      <w:hyperlink r:id="rId90">
        <w:r>
          <w:rPr>
            <w:rStyle w:val="Hyperlink"/>
          </w:rPr>
          <w:t xml:space="preserve">https://doi.org/10.1002/rra.1053</w:t>
        </w:r>
      </w:hyperlink>
      <w:r>
        <w:t xml:space="preserve">.</w:t>
      </w:r>
    </w:p>
    <w:bookmarkEnd w:id="91"/>
    <w:bookmarkStart w:id="93"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 599–615.</w:t>
      </w:r>
      <w:r>
        <w:t xml:space="preserve"> </w:t>
      </w:r>
      <w:hyperlink r:id="rId92">
        <w:r>
          <w:rPr>
            <w:rStyle w:val="Hyperlink"/>
          </w:rPr>
          <w:t xml:space="preserve">https://doi.org/10.1899/0887-3593(2004)023%3C0599:BWRSUO%3E2.0.CO;2</w:t>
        </w:r>
      </w:hyperlink>
      <w:r>
        <w:t xml:space="preserve">.</w:t>
      </w:r>
    </w:p>
    <w:bookmarkEnd w:id="93"/>
    <w:bookmarkStart w:id="95"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 74–90.</w:t>
      </w:r>
      <w:r>
        <w:t xml:space="preserve"> </w:t>
      </w:r>
      <w:hyperlink r:id="rId94">
        <w:r>
          <w:rPr>
            <w:rStyle w:val="Hyperlink"/>
          </w:rPr>
          <w:t xml:space="preserve">https://doi.org/10.1111/j.1365-2427.2011.02696.x</w:t>
        </w:r>
      </w:hyperlink>
      <w:r>
        <w:t xml:space="preserve">.</w:t>
      </w:r>
    </w:p>
    <w:bookmarkEnd w:id="95"/>
    <w:bookmarkStart w:id="97" w:name="ref-Cuffney11"/>
    <w:p>
      <w:pPr>
        <w:pStyle w:val="Bibliography"/>
      </w:pPr>
      <w:r>
        <w:t xml:space="preserve">Cuffney, T. F., S. S. Qian, R. A. Brightbill, J. T. May, and I. R. Waite. 2011. “Response to King and Baker: Limitations on Threshold Detection and Characterization of Community Thresholds.”</w:t>
      </w:r>
      <w:r>
        <w:t xml:space="preserve"> </w:t>
      </w:r>
      <w:r>
        <w:rPr>
          <w:i/>
        </w:rPr>
        <w:t xml:space="preserve">Ecological Applications</w:t>
      </w:r>
      <w:r>
        <w:t xml:space="preserve"> </w:t>
      </w:r>
      <w:r>
        <w:t xml:space="preserve">21 (7): 2840–5.</w:t>
      </w:r>
      <w:r>
        <w:t xml:space="preserve"> </w:t>
      </w:r>
      <w:hyperlink r:id="rId96">
        <w:r>
          <w:rPr>
            <w:rStyle w:val="Hyperlink"/>
          </w:rPr>
          <w:t xml:space="preserve">https://doi.org/10.2307/41416699</w:t>
        </w:r>
      </w:hyperlink>
      <w:r>
        <w:t xml:space="preserve">.</w:t>
      </w:r>
    </w:p>
    <w:bookmarkEnd w:id="97"/>
    <w:bookmarkStart w:id="98"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 1251–66.</w:t>
      </w:r>
    </w:p>
    <w:bookmarkEnd w:id="98"/>
    <w:bookmarkStart w:id="100"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 150073.</w:t>
      </w:r>
      <w:r>
        <w:t xml:space="preserve"> </w:t>
      </w:r>
      <w:hyperlink r:id="rId99">
        <w:r>
          <w:rPr>
            <w:rStyle w:val="Hyperlink"/>
          </w:rPr>
          <w:t xml:space="preserve">https://doi.org/10.1038/sdata.2015.73</w:t>
        </w:r>
      </w:hyperlink>
      <w:r>
        <w:t xml:space="preserve">.</w:t>
      </w:r>
    </w:p>
    <w:bookmarkEnd w:id="100"/>
    <w:bookmarkStart w:id="101" w:name="ref-ESRI16"/>
    <w:p>
      <w:pPr>
        <w:pStyle w:val="Bibliography"/>
      </w:pPr>
      <w:r>
        <w:t xml:space="preserve">ESRI (Environmental Systems Research Institute). 2016. “ArcGIS v10.5.”</w:t>
      </w:r>
    </w:p>
    <w:bookmarkEnd w:id="101"/>
    <w:bookmarkStart w:id="103"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 1149–60.</w:t>
      </w:r>
      <w:r>
        <w:t xml:space="preserve"> </w:t>
      </w:r>
      <w:hyperlink r:id="rId102">
        <w:r>
          <w:rPr>
            <w:rStyle w:val="Hyperlink"/>
          </w:rPr>
          <w:t xml:space="preserve">https://doi.org/10.1111/j.1752-1688.2000.tb05717.x</w:t>
        </w:r>
      </w:hyperlink>
      <w:r>
        <w:t xml:space="preserve">.</w:t>
      </w:r>
    </w:p>
    <w:bookmarkEnd w:id="103"/>
    <w:bookmarkStart w:id="104"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4"/>
    <w:bookmarkStart w:id="106"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 316.</w:t>
      </w:r>
      <w:r>
        <w:t xml:space="preserve"> </w:t>
      </w:r>
      <w:hyperlink r:id="rId105">
        <w:r>
          <w:rPr>
            <w:rStyle w:val="Hyperlink"/>
          </w:rPr>
          <w:t xml:space="preserve">https://doi.org/10.1007/s10661-017-6025-0</w:t>
        </w:r>
      </w:hyperlink>
      <w:r>
        <w:t xml:space="preserve">.</w:t>
      </w:r>
    </w:p>
    <w:bookmarkEnd w:id="106"/>
    <w:bookmarkStart w:id="107"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 858–64.</w:t>
      </w:r>
    </w:p>
    <w:bookmarkEnd w:id="107"/>
    <w:bookmarkStart w:id="108"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08"/>
    <w:bookmarkStart w:id="110"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 2397–2415.</w:t>
      </w:r>
      <w:r>
        <w:t xml:space="preserve"> </w:t>
      </w:r>
      <w:hyperlink r:id="rId109">
        <w:r>
          <w:rPr>
            <w:rStyle w:val="Hyperlink"/>
          </w:rPr>
          <w:t xml:space="preserve">https://doi.org/10.1002/eap.1617</w:t>
        </w:r>
      </w:hyperlink>
      <w:r>
        <w:t xml:space="preserve">.</w:t>
      </w:r>
    </w:p>
    <w:bookmarkEnd w:id="110"/>
    <w:bookmarkStart w:id="112"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111">
        <w:r>
          <w:rPr>
            <w:rStyle w:val="Hyperlink"/>
          </w:rPr>
          <w:t xml:space="preserve">https://doi.org/10.1111/1752-1688.12372</w:t>
        </w:r>
      </w:hyperlink>
      <w:r>
        <w:t xml:space="preserve">.</w:t>
      </w:r>
    </w:p>
    <w:bookmarkEnd w:id="112"/>
    <w:bookmarkStart w:id="114"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 417–31.</w:t>
      </w:r>
      <w:r>
        <w:t xml:space="preserve"> </w:t>
      </w:r>
      <w:hyperlink r:id="rId113">
        <w:r>
          <w:rPr>
            <w:rStyle w:val="Hyperlink"/>
          </w:rPr>
          <w:t xml:space="preserve">https://doi.org/10.1086/697996</w:t>
        </w:r>
      </w:hyperlink>
      <w:r>
        <w:t xml:space="preserve">.</w:t>
      </w:r>
    </w:p>
    <w:bookmarkEnd w:id="114"/>
    <w:bookmarkStart w:id="116" w:name="ref-Hynes75"/>
    <w:p>
      <w:pPr>
        <w:pStyle w:val="Bibliography"/>
      </w:pPr>
      <w:r>
        <w:t xml:space="preserve">Hynes, H. B. N. 1975. “The Stream and Its Valley.”</w:t>
      </w:r>
      <w:r>
        <w:t xml:space="preserve"> </w:t>
      </w:r>
      <w:r>
        <w:rPr>
          <w:i/>
        </w:rPr>
        <w:t xml:space="preserve">SIL Proceedings, 1922-2010</w:t>
      </w:r>
      <w:r>
        <w:t xml:space="preserve"> </w:t>
      </w:r>
      <w:r>
        <w:t xml:space="preserve">19 (1): 1–15.</w:t>
      </w:r>
      <w:r>
        <w:t xml:space="preserve"> </w:t>
      </w:r>
      <w:hyperlink r:id="rId115">
        <w:r>
          <w:rPr>
            <w:rStyle w:val="Hyperlink"/>
          </w:rPr>
          <w:t xml:space="preserve">https://doi.org/10.1080/03680770.1974.11896033</w:t>
        </w:r>
      </w:hyperlink>
      <w:r>
        <w:t xml:space="preserve">.</w:t>
      </w:r>
    </w:p>
    <w:bookmarkEnd w:id="116"/>
    <w:bookmarkStart w:id="118"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 193–208.</w:t>
      </w:r>
      <w:r>
        <w:t xml:space="preserve"> </w:t>
      </w:r>
      <w:hyperlink r:id="rId117">
        <w:r>
          <w:rPr>
            <w:rStyle w:val="Hyperlink"/>
          </w:rPr>
          <w:t xml:space="preserve">https://doi.org/10.1046/j.1365-2427.1997.d01-539.x</w:t>
        </w:r>
      </w:hyperlink>
      <w:r>
        <w:t xml:space="preserve">.</w:t>
      </w:r>
    </w:p>
    <w:bookmarkEnd w:id="118"/>
    <w:bookmarkStart w:id="119"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19"/>
    <w:bookmarkStart w:id="121"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 603–15.</w:t>
      </w:r>
      <w:r>
        <w:t xml:space="preserve"> </w:t>
      </w:r>
      <w:hyperlink r:id="rId120">
        <w:r>
          <w:rPr>
            <w:rStyle w:val="Hyperlink"/>
          </w:rPr>
          <w:t xml:space="preserve">https://doi.org/10.1111/j.1752-1688.2011.00635.x</w:t>
        </w:r>
      </w:hyperlink>
      <w:r>
        <w:t xml:space="preserve">.</w:t>
      </w:r>
    </w:p>
    <w:bookmarkEnd w:id="121"/>
    <w:bookmarkStart w:id="122" w:name="ref-Koenker99"/>
    <w:p>
      <w:pPr>
        <w:pStyle w:val="Bibliography"/>
      </w:pPr>
      <w:r>
        <w:t xml:space="preserve">Koenker, R., and J. A. F. Machado. 1999. “Goodness of Fit and Related Inference Processes for Quantile Regression.”</w:t>
      </w:r>
      <w:r>
        <w:t xml:space="preserve"> </w:t>
      </w:r>
      <w:r>
        <w:rPr>
          <w:i/>
        </w:rPr>
        <w:t xml:space="preserve">Journal of the American Statistical Association</w:t>
      </w:r>
      <w:r>
        <w:t xml:space="preserve"> </w:t>
      </w:r>
      <w:r>
        <w:t xml:space="preserve">94 (448): 1296–1310.</w:t>
      </w:r>
    </w:p>
    <w:bookmarkEnd w:id="122"/>
    <w:bookmarkStart w:id="124"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 310–26.</w:t>
      </w:r>
      <w:r>
        <w:t xml:space="preserve"> </w:t>
      </w:r>
      <w:hyperlink r:id="rId123">
        <w:r>
          <w:rPr>
            <w:rStyle w:val="Hyperlink"/>
          </w:rPr>
          <w:t xml:space="preserve">https://doi.org/10.1007%2Fs00267-008-9151-1</w:t>
        </w:r>
      </w:hyperlink>
      <w:r>
        <w:t xml:space="preserve">.</w:t>
      </w:r>
    </w:p>
    <w:bookmarkEnd w:id="124"/>
    <w:bookmarkStart w:id="126"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 124–34.</w:t>
      </w:r>
      <w:r>
        <w:t xml:space="preserve"> </w:t>
      </w:r>
      <w:hyperlink r:id="rId125">
        <w:r>
          <w:rPr>
            <w:rStyle w:val="Hyperlink"/>
          </w:rPr>
          <w:t xml:space="preserve">https://doi.org/10.3368/er.34.2.124</w:t>
        </w:r>
      </w:hyperlink>
      <w:r>
        <w:t xml:space="preserve">.</w:t>
      </w:r>
    </w:p>
    <w:bookmarkEnd w:id="126"/>
    <w:bookmarkStart w:id="127" w:name="ref-Mazor15"/>
    <w:p>
      <w:pPr>
        <w:pStyle w:val="Bibliography"/>
      </w:pPr>
      <w:r>
        <w:t xml:space="preserve">Mazor, R. D. 2015. “Bioassessment of Perennial Streams in Southern California: A Report on the First Five Years of the Stormwater Monitoring Coalition’s Regional Stream Survey.” 844. Costa Mesa, California: Southern California Coastal Water Research Project.</w:t>
      </w:r>
    </w:p>
    <w:bookmarkEnd w:id="127"/>
    <w:bookmarkStart w:id="128" w:name="ref-Mazor18"/>
    <w:p>
      <w:pPr>
        <w:pStyle w:val="Bibliography"/>
      </w:pPr>
      <w:r>
        <w:t xml:space="preserve">Mazor, R. D., M. W. Beck, and J. Brown. 2018. “2017 Report on the SMC Regional Stream Survey.” 1029. Costa Mesa, California: Southern California Coastal Water Research Project.</w:t>
      </w:r>
    </w:p>
    <w:bookmarkEnd w:id="128"/>
    <w:bookmarkStart w:id="129"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129"/>
    <w:bookmarkStart w:id="131" w:name="ref-Mazor14"/>
    <w:p>
      <w:pPr>
        <w:pStyle w:val="Bibliography"/>
      </w:pPr>
      <w:r>
        <w:t xml:space="preserve">Mazor, R. D., E. D. Stein, P. R. Ode, and K. Schiff. 2014. “Integrating Intermittent Streams into Watershed Assessments: Applicability of an Index of Biotic Integrity.”</w:t>
      </w:r>
      <w:r>
        <w:t xml:space="preserve"> </w:t>
      </w:r>
      <w:r>
        <w:rPr>
          <w:i/>
        </w:rPr>
        <w:t xml:space="preserve">Freshwater Science</w:t>
      </w:r>
      <w:r>
        <w:t xml:space="preserve"> </w:t>
      </w:r>
      <w:r>
        <w:t xml:space="preserve">35 (2): 459–74.</w:t>
      </w:r>
      <w:r>
        <w:t xml:space="preserve"> </w:t>
      </w:r>
      <w:hyperlink r:id="rId130">
        <w:r>
          <w:rPr>
            <w:rStyle w:val="Hyperlink"/>
          </w:rPr>
          <w:t xml:space="preserve">https://doi.org/10.1086/675683</w:t>
        </w:r>
      </w:hyperlink>
      <w:r>
        <w:t xml:space="preserve">.</w:t>
      </w:r>
    </w:p>
    <w:bookmarkEnd w:id="131"/>
    <w:bookmarkStart w:id="132" w:name="ref-McKay12"/>
    <w:p>
      <w:pPr>
        <w:pStyle w:val="Bibliography"/>
      </w:pPr>
      <w:r>
        <w:t xml:space="preserve">McKay, L., T. Bondelid, T. Dewald, J. Johnston, R. Moore, and A. Reah. 2012. “NHDPlus Version 2: User Guide.”</w:t>
      </w:r>
    </w:p>
    <w:bookmarkEnd w:id="132"/>
    <w:bookmarkStart w:id="133"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 983–99.</w:t>
      </w:r>
    </w:p>
    <w:bookmarkEnd w:id="133"/>
    <w:bookmarkStart w:id="135"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4">
        <w:r>
          <w:rPr>
            <w:rStyle w:val="Hyperlink"/>
          </w:rPr>
          <w:t xml:space="preserve">https://CRAN.R-project.org/package=quantregForest</w:t>
        </w:r>
      </w:hyperlink>
      <w:r>
        <w:t xml:space="preserve">.</w:t>
      </w:r>
    </w:p>
    <w:bookmarkEnd w:id="135"/>
    <w:bookmarkStart w:id="136"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6"/>
    <w:bookmarkStart w:id="137"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 643–55.</w:t>
      </w:r>
    </w:p>
    <w:bookmarkEnd w:id="137"/>
    <w:bookmarkStart w:id="139"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 41–52.</w:t>
      </w:r>
      <w:r>
        <w:t xml:space="preserve"> </w:t>
      </w:r>
      <w:hyperlink r:id="rId138">
        <w:r>
          <w:rPr>
            <w:rStyle w:val="Hyperlink"/>
          </w:rPr>
          <w:t xml:space="preserve">https://doi.org/10.1111/j.1365-2427.1987.tb01027.x</w:t>
        </w:r>
      </w:hyperlink>
      <w:r>
        <w:t xml:space="preserve">.</w:t>
      </w:r>
    </w:p>
    <w:bookmarkEnd w:id="139"/>
    <w:bookmarkStart w:id="141"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 474–85.</w:t>
      </w:r>
      <w:r>
        <w:t xml:space="preserve"> </w:t>
      </w:r>
      <w:hyperlink r:id="rId140">
        <w:r>
          <w:rPr>
            <w:rStyle w:val="Hyperlink"/>
          </w:rPr>
          <w:t xml:space="preserve">https://doi.org/10.1002/aqc.1010</w:t>
        </w:r>
      </w:hyperlink>
      <w:r>
        <w:t xml:space="preserve">.</w:t>
      </w:r>
    </w:p>
    <w:bookmarkEnd w:id="141"/>
    <w:bookmarkStart w:id="143"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42">
        <w:r>
          <w:rPr>
            <w:rStyle w:val="Hyperlink"/>
          </w:rPr>
          <w:t xml:space="preserve">https://www.waterboards.ca.gov/water_issues/programs/swamp/bioassessment/docs/combined_sop_2016.pdf</w:t>
        </w:r>
      </w:hyperlink>
      <w:r>
        <w:t xml:space="preserve">.</w:t>
      </w:r>
    </w:p>
    <w:bookmarkEnd w:id="143"/>
    <w:bookmarkStart w:id="145"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Protection Agency.</w:t>
      </w:r>
      <w:r>
        <w:t xml:space="preserve"> </w:t>
      </w:r>
      <w:hyperlink r:id="rId144">
        <w:r>
          <w:rPr>
            <w:rStyle w:val="Hyperlink"/>
          </w:rPr>
          <w:t xml:space="preserve">https://www.waterboards.ca.gov/water_issues/programs/swamp/docs/reports/psa_smmry_rpt.pdf</w:t>
        </w:r>
      </w:hyperlink>
      <w:r>
        <w:t xml:space="preserve">.</w:t>
      </w:r>
    </w:p>
    <w:bookmarkEnd w:id="145"/>
    <w:bookmarkStart w:id="146"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 237–48.</w:t>
      </w:r>
    </w:p>
    <w:bookmarkEnd w:id="146"/>
    <w:bookmarkStart w:id="148"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 320–30.</w:t>
      </w:r>
      <w:r>
        <w:t xml:space="preserve"> </w:t>
      </w:r>
      <w:hyperlink r:id="rId147">
        <w:r>
          <w:rPr>
            <w:rStyle w:val="Hyperlink"/>
          </w:rPr>
          <w:t xml:space="preserve">https://doi.org/10.1111/j.1752-1688.2008.00280.x</w:t>
        </w:r>
      </w:hyperlink>
      <w:r>
        <w:t xml:space="preserve">.</w:t>
      </w:r>
    </w:p>
    <w:bookmarkEnd w:id="148"/>
    <w:bookmarkStart w:id="150"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 2101–9.</w:t>
      </w:r>
      <w:r>
        <w:t xml:space="preserve"> </w:t>
      </w:r>
      <w:hyperlink r:id="rId149">
        <w:r>
          <w:rPr>
            <w:rStyle w:val="Hyperlink"/>
          </w:rPr>
          <w:t xml:space="preserve">https://doi.org/10.1016/j.foreco.2008.07.041</w:t>
        </w:r>
      </w:hyperlink>
      <w:r>
        <w:t xml:space="preserve">.</w:t>
      </w:r>
    </w:p>
    <w:bookmarkEnd w:id="150"/>
    <w:bookmarkStart w:id="151" w:name="ref-RDCT18"/>
    <w:p>
      <w:pPr>
        <w:pStyle w:val="Bibliography"/>
      </w:pPr>
      <w:r>
        <w:t xml:space="preserve">RDCT (R Development Core Team). 2018. “R: A language and environment for statistical computing, v3.5.1. R Foundation for Statistical Computing, Vienna, Austria.”</w:t>
      </w:r>
    </w:p>
    <w:bookmarkEnd w:id="151"/>
    <w:bookmarkStart w:id="153"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 2417–31.</w:t>
      </w:r>
      <w:r>
        <w:t xml:space="preserve"> </w:t>
      </w:r>
      <w:hyperlink r:id="rId152">
        <w:r>
          <w:rPr>
            <w:rStyle w:val="Hyperlink"/>
          </w:rPr>
          <w:t xml:space="preserve">https://doi.org/10.1016/j.biocon.2008.07.014</w:t>
        </w:r>
      </w:hyperlink>
      <w:r>
        <w:t xml:space="preserve">.</w:t>
      </w:r>
    </w:p>
    <w:bookmarkEnd w:id="153"/>
    <w:bookmarkStart w:id="155" w:name="ref-Rehn15"/>
    <w:p>
      <w:pPr>
        <w:pStyle w:val="Bibliography"/>
      </w:pPr>
      <w:r>
        <w:t xml:space="preserve">Rehn, A. C. 2015. “The Perennial Streams Assessment (PSA): An Assessment of Biological Condition Using the New California Stream Condition Index (CSCI).” SWAMP Management Memorandum, SWAMP-MM-2015-0001. Sacramento, California: California State Water Resources Control Board Surface Water Ambient Monitoring Program.</w:t>
      </w:r>
      <w:r>
        <w:t xml:space="preserve"> </w:t>
      </w:r>
      <w:hyperlink r:id="rId154">
        <w:r>
          <w:rPr>
            <w:rStyle w:val="Hyperlink"/>
          </w:rPr>
          <w:t xml:space="preserve">https://www.waterboards.ca.gov/water_issues/programs/swamp/bioassessment/docs/psa_memo_121015.pdf</w:t>
        </w:r>
      </w:hyperlink>
      <w:r>
        <w:t xml:space="preserve">.</w:t>
      </w:r>
    </w:p>
    <w:bookmarkEnd w:id="155"/>
    <w:bookmarkStart w:id="157"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6">
        <w:r>
          <w:rPr>
            <w:rStyle w:val="Hyperlink"/>
          </w:rPr>
          <w:t xml:space="preserve">https://www.waterboards.ca.gov/water_issues/programs/swamp/bioassessment/docs/physical_habitat_index_technical_memo.pdf</w:t>
        </w:r>
      </w:hyperlink>
      <w:r>
        <w:t xml:space="preserve">.</w:t>
      </w:r>
    </w:p>
    <w:bookmarkEnd w:id="157"/>
    <w:bookmarkStart w:id="159"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 833–52.</w:t>
      </w:r>
      <w:r>
        <w:t xml:space="preserve"> </w:t>
      </w:r>
      <w:hyperlink r:id="rId158">
        <w:r>
          <w:rPr>
            <w:rStyle w:val="Hyperlink"/>
          </w:rPr>
          <w:t xml:space="preserve">https://doi.org/10.2307/1468175</w:t>
        </w:r>
      </w:hyperlink>
      <w:r>
        <w:t xml:space="preserve">.</w:t>
      </w:r>
    </w:p>
    <w:bookmarkEnd w:id="159"/>
    <w:bookmarkStart w:id="161" w:name="ref-Richards97"/>
    <w:p>
      <w:pPr>
        <w:pStyle w:val="Bibliography"/>
      </w:pPr>
      <w:r>
        <w:t xml:space="preserve">Richards, C., R. Haro, L. Johnson, and G. Host. 1997. “Catchment and Reach-Scale Properties as Indicators of Macroinvertebrate Species Traits.”</w:t>
      </w:r>
      <w:r>
        <w:t xml:space="preserve"> </w:t>
      </w:r>
      <w:r>
        <w:rPr>
          <w:i/>
        </w:rPr>
        <w:t xml:space="preserve">Freshwater Biology</w:t>
      </w:r>
      <w:r>
        <w:t xml:space="preserve"> </w:t>
      </w:r>
      <w:r>
        <w:t xml:space="preserve">37 (1): 219–30.</w:t>
      </w:r>
      <w:r>
        <w:t xml:space="preserve"> </w:t>
      </w:r>
      <w:hyperlink r:id="rId160">
        <w:r>
          <w:rPr>
            <w:rStyle w:val="Hyperlink"/>
          </w:rPr>
          <w:t xml:space="preserve">https://doi.org/10.1046/j.1365-2427.1997.d01-540.x</w:t>
        </w:r>
      </w:hyperlink>
      <w:r>
        <w:t xml:space="preserve">.</w:t>
      </w:r>
    </w:p>
    <w:bookmarkEnd w:id="161"/>
    <w:bookmarkStart w:id="162"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62"/>
    <w:bookmarkStart w:id="164"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 358–72.</w:t>
      </w:r>
      <w:r>
        <w:t xml:space="preserve"> </w:t>
      </w:r>
      <w:hyperlink r:id="rId163">
        <w:r>
          <w:rPr>
            <w:rStyle w:val="Hyperlink"/>
          </w:rPr>
          <w:t xml:space="preserve">https://doi.org/10.1111/gec3.12039</w:t>
        </w:r>
      </w:hyperlink>
      <w:r>
        <w:t xml:space="preserve">.</w:t>
      </w:r>
    </w:p>
    <w:bookmarkEnd w:id="164"/>
    <w:bookmarkStart w:id="166"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 251–66.</w:t>
      </w:r>
      <w:r>
        <w:t xml:space="preserve"> </w:t>
      </w:r>
      <w:hyperlink r:id="rId165">
        <w:r>
          <w:rPr>
            <w:rStyle w:val="Hyperlink"/>
          </w:rPr>
          <w:t xml:space="preserve">https://doi.org/10.1007/s10661-010-1385-8</w:t>
        </w:r>
      </w:hyperlink>
      <w:r>
        <w:t xml:space="preserve">.</w:t>
      </w:r>
    </w:p>
    <w:bookmarkEnd w:id="166"/>
    <w:bookmarkStart w:id="167" w:name="ref-Smeets99"/>
    <w:p>
      <w:pPr>
        <w:pStyle w:val="Bibliography"/>
      </w:pPr>
      <w:r>
        <w:t xml:space="preserve">Smeets, E., and R. Weterings. 1999. “Environmental Indicators: Typology and Overview.” No. 25. Copenhagen, Denmark: European Environmental Agency.</w:t>
      </w:r>
    </w:p>
    <w:bookmarkEnd w:id="167"/>
    <w:bookmarkStart w:id="169"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 780–92.</w:t>
      </w:r>
      <w:r>
        <w:t xml:space="preserve"> </w:t>
      </w:r>
      <w:hyperlink r:id="rId168">
        <w:r>
          <w:rPr>
            <w:rStyle w:val="Hyperlink"/>
          </w:rPr>
          <w:t xml:space="preserve">https://doi.org/10.1111/jawr.12035</w:t>
        </w:r>
      </w:hyperlink>
      <w:r>
        <w:t xml:space="preserve">.</w:t>
      </w:r>
    </w:p>
    <w:bookmarkEnd w:id="169"/>
    <w:bookmarkStart w:id="171"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 e1869.</w:t>
      </w:r>
      <w:r>
        <w:t xml:space="preserve"> </w:t>
      </w:r>
      <w:hyperlink r:id="rId170">
        <w:r>
          <w:rPr>
            <w:rStyle w:val="Hyperlink"/>
          </w:rPr>
          <w:t xml:space="preserve">https://doi.org/10.1002/eco.1869</w:t>
        </w:r>
      </w:hyperlink>
      <w:r>
        <w:t xml:space="preserve">.</w:t>
      </w:r>
    </w:p>
    <w:bookmarkEnd w:id="171"/>
    <w:bookmarkStart w:id="173"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 1267–76.</w:t>
      </w:r>
      <w:r>
        <w:t xml:space="preserve"> </w:t>
      </w:r>
      <w:hyperlink r:id="rId172">
        <w:r>
          <w:rPr>
            <w:rStyle w:val="Hyperlink"/>
          </w:rPr>
          <w:t xml:space="preserve">https://doi.org/10.1890/1051-0761(2006)016[1267:SEFTEC]2.0.CO;2</w:t>
        </w:r>
      </w:hyperlink>
      <w:r>
        <w:t xml:space="preserve">.</w:t>
      </w:r>
    </w:p>
    <w:bookmarkEnd w:id="173"/>
    <w:bookmarkStart w:id="175"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 151–69.</w:t>
      </w:r>
      <w:r>
        <w:t xml:space="preserve"> </w:t>
      </w:r>
      <w:hyperlink r:id="rId174">
        <w:r>
          <w:rPr>
            <w:rStyle w:val="Hyperlink"/>
          </w:rPr>
          <w:t xml:space="preserve">https://doi.org/10.1046/j.1365-2427.1998.00272.x</w:t>
        </w:r>
      </w:hyperlink>
      <w:r>
        <w:t xml:space="preserve">.</w:t>
      </w:r>
    </w:p>
    <w:bookmarkEnd w:id="175"/>
    <w:bookmarkStart w:id="176" w:name="ref-USEPA13"/>
    <w:p>
      <w:pPr>
        <w:pStyle w:val="Bibliography"/>
      </w:pPr>
      <w:r>
        <w:t xml:space="preserve">US Environmental Protection Agency, Region 10. 2013. “Technical Support Document for EPA’s Action on the State of Oregon’s Revised Water Quality Standards for the West Division Main Canal.”</w:t>
      </w:r>
    </w:p>
    <w:bookmarkEnd w:id="176"/>
    <w:bookmarkStart w:id="177" w:name="ref-USGS99"/>
    <w:p>
      <w:pPr>
        <w:pStyle w:val="Bibliography"/>
      </w:pPr>
      <w:r>
        <w:t xml:space="preserve">USGS (US Geological Survey). 1999. “The quality of our nation’s waters: nutrients and pesticides.” Reston, Virginia.</w:t>
      </w:r>
    </w:p>
    <w:bookmarkEnd w:id="177"/>
    <w:bookmarkStart w:id="179"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 219–42.</w:t>
      </w:r>
      <w:r>
        <w:t xml:space="preserve"> </w:t>
      </w:r>
      <w:hyperlink r:id="rId178">
        <w:r>
          <w:rPr>
            <w:rStyle w:val="Hyperlink"/>
          </w:rPr>
          <w:t xml:space="preserve">https://doi.org/10.1023/A:1023374524254</w:t>
        </w:r>
      </w:hyperlink>
      <w:r>
        <w:t xml:space="preserve">.</w:t>
      </w:r>
    </w:p>
    <w:bookmarkEnd w:id="179"/>
    <w:bookmarkStart w:id="181" w:name="ref-Waite13"/>
    <w:p>
      <w:pPr>
        <w:pStyle w:val="Bibliography"/>
      </w:pPr>
      <w:r>
        <w:t xml:space="preserve">Waite, I. R. 2013. “Development and Application of an Agricultural Intensity Index to Invertebrate and Algal Metrics from Streams at Two Scales.”</w:t>
      </w:r>
      <w:r>
        <w:t xml:space="preserve"> </w:t>
      </w:r>
      <w:r>
        <w:rPr>
          <w:i/>
        </w:rPr>
        <w:t xml:space="preserve">Journal of the American Water Resources Association</w:t>
      </w:r>
      <w:r>
        <w:t xml:space="preserve"> </w:t>
      </w:r>
      <w:r>
        <w:t xml:space="preserve">49 (2): 431–48.</w:t>
      </w:r>
      <w:r>
        <w:t xml:space="preserve"> </w:t>
      </w:r>
      <w:hyperlink r:id="rId180">
        <w:r>
          <w:rPr>
            <w:rStyle w:val="Hyperlink"/>
          </w:rPr>
          <w:t xml:space="preserve">https://doi.org/10.1111/jawr.12032</w:t>
        </w:r>
      </w:hyperlink>
      <w:r>
        <w:t xml:space="preserve">.</w:t>
      </w:r>
    </w:p>
    <w:bookmarkEnd w:id="181"/>
    <w:bookmarkStart w:id="183"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 e90944.</w:t>
      </w:r>
      <w:r>
        <w:t xml:space="preserve"> </w:t>
      </w:r>
      <w:hyperlink r:id="rId182">
        <w:r>
          <w:rPr>
            <w:rStyle w:val="Hyperlink"/>
          </w:rPr>
          <w:t xml:space="preserve">https://doi.org/10.1371/journal.pone.0090944</w:t>
        </w:r>
      </w:hyperlink>
      <w:r>
        <w:t xml:space="preserve">.</w:t>
      </w:r>
    </w:p>
    <w:bookmarkEnd w:id="183"/>
    <w:bookmarkStart w:id="185"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 706–23.</w:t>
      </w:r>
      <w:r>
        <w:t xml:space="preserve"> </w:t>
      </w:r>
      <w:hyperlink r:id="rId184">
        <w:r>
          <w:rPr>
            <w:rStyle w:val="Hyperlink"/>
          </w:rPr>
          <w:t xml:space="preserve">https://doi.org/10.1899/04-028.1</w:t>
        </w:r>
      </w:hyperlink>
      <w:r>
        <w:t xml:space="preserve">.</w:t>
      </w:r>
    </w:p>
    <w:bookmarkEnd w:id="185"/>
    <w:bookmarkStart w:id="187"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 6–12.</w:t>
      </w:r>
      <w:r>
        <w:t xml:space="preserve"> </w:t>
      </w:r>
      <w:hyperlink r:id="rId186">
        <w:r>
          <w:rPr>
            <w:rStyle w:val="Hyperlink"/>
          </w:rPr>
          <w:t xml:space="preserve">https://doi.org/10.1577/1548-8446(1997)022%3C0006:IOWLUO%3E2.0.CO;2</w:t>
        </w:r>
      </w:hyperlink>
      <w:r>
        <w:t xml:space="preserve">.</w:t>
      </w:r>
    </w:p>
    <w:bookmarkEnd w:id="187"/>
    <w:bookmarkEnd w:id="1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4" Target="media/rId54.jpg" /><Relationship Type="http://schemas.openxmlformats.org/officeDocument/2006/relationships/image" Id="rId49" Target="media/rId49.jpg" /><Relationship Type="http://schemas.openxmlformats.org/officeDocument/2006/relationships/image" Id="rId52" Target="media/rId52.jpg" /><Relationship Type="http://schemas.openxmlformats.org/officeDocument/2006/relationships/image" Id="rId50" Target="media/rId50.pn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hyperlink" Id="rId62" Target="http://doi.org/10.5281/zenodo.1218121" TargetMode="External" /><Relationship Type="http://schemas.openxmlformats.org/officeDocument/2006/relationships/hyperlink" Id="rId41"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09" Target="https://doi.org/10.1002/eap.1617" TargetMode="External" /><Relationship Type="http://schemas.openxmlformats.org/officeDocument/2006/relationships/hyperlink" Id="rId170" Target="https://doi.org/10.1002/eco.1869" TargetMode="External" /><Relationship Type="http://schemas.openxmlformats.org/officeDocument/2006/relationships/hyperlink" Id="rId90" Target="https://doi.org/10.1002/rra.1053" TargetMode="External" /><Relationship Type="http://schemas.openxmlformats.org/officeDocument/2006/relationships/hyperlink" Id="rId123" Target="https://doi.org/10.1007%2Fs00267-008-9151-1" TargetMode="External" /><Relationship Type="http://schemas.openxmlformats.org/officeDocument/2006/relationships/hyperlink" Id="rId84" Target="https://doi.org/10.1007/s10661-008-0256-z" TargetMode="External" /><Relationship Type="http://schemas.openxmlformats.org/officeDocument/2006/relationships/hyperlink" Id="rId165"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5" Target="https://doi.org/10.1007/s10661-017-6025-0" TargetMode="External" /><Relationship Type="http://schemas.openxmlformats.org/officeDocument/2006/relationships/hyperlink" Id="rId152" Target="https://doi.org/10.1016/j.biocon.2008.07.014" TargetMode="External" /><Relationship Type="http://schemas.openxmlformats.org/officeDocument/2006/relationships/hyperlink" Id="rId86" Target="https://doi.org/10.1016/j.ecolind.2013.07.006" TargetMode="External" /><Relationship Type="http://schemas.openxmlformats.org/officeDocument/2006/relationships/hyperlink" Id="rId149"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78" Target="https://doi.org/10.1023/A:1023374524254" TargetMode="External" /><Relationship Type="http://schemas.openxmlformats.org/officeDocument/2006/relationships/hyperlink" Id="rId99" Target="https://doi.org/10.1038/sdata.2015.73" TargetMode="External" /><Relationship Type="http://schemas.openxmlformats.org/officeDocument/2006/relationships/hyperlink" Id="rId117" Target="https://doi.org/10.1046/j.1365-2427.1997.d01-539.x" TargetMode="External" /><Relationship Type="http://schemas.openxmlformats.org/officeDocument/2006/relationships/hyperlink" Id="rId160" Target="https://doi.org/10.1046/j.1365-2427.1997.d01-540.x" TargetMode="External" /><Relationship Type="http://schemas.openxmlformats.org/officeDocument/2006/relationships/hyperlink" Id="rId57" Target="https://doi.org/10.1046/j.1365-2427.1997.d01-546.x" TargetMode="External" /><Relationship Type="http://schemas.openxmlformats.org/officeDocument/2006/relationships/hyperlink" Id="rId174" Target="https://doi.org/10.1046/j.1365-2427.1998.00272.x" TargetMode="External" /><Relationship Type="http://schemas.openxmlformats.org/officeDocument/2006/relationships/hyperlink" Id="rId115" Target="https://doi.org/10.1080/03680770.1974.11896033" TargetMode="External" /><Relationship Type="http://schemas.openxmlformats.org/officeDocument/2006/relationships/hyperlink" Id="rId130" Target="https://doi.org/10.1086/675683" TargetMode="External" /><Relationship Type="http://schemas.openxmlformats.org/officeDocument/2006/relationships/hyperlink" Id="rId88" Target="https://doi.org/10.1086/678701" TargetMode="External" /><Relationship Type="http://schemas.openxmlformats.org/officeDocument/2006/relationships/hyperlink" Id="rId113" Target="https://doi.org/10.1086/697996" TargetMode="External" /><Relationship Type="http://schemas.openxmlformats.org/officeDocument/2006/relationships/hyperlink" Id="rId111" Target="https://doi.org/10.1111/1752-1688.12372" TargetMode="External" /><Relationship Type="http://schemas.openxmlformats.org/officeDocument/2006/relationships/hyperlink" Id="rId163"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59" Target="https://doi.org/10.1111/j.1365-2427.2006.01685.x" TargetMode="External" /><Relationship Type="http://schemas.openxmlformats.org/officeDocument/2006/relationships/hyperlink" Id="rId94" Target="https://doi.org/10.1111/j.1365-2427.2011.02696.x" TargetMode="External" /><Relationship Type="http://schemas.openxmlformats.org/officeDocument/2006/relationships/hyperlink" Id="rId66" Target="https://doi.org/10.1111/j.1526-100X.2007.00244.x" TargetMode="External" /><Relationship Type="http://schemas.openxmlformats.org/officeDocument/2006/relationships/hyperlink" Id="rId82" Target="https://doi.org/10.1111/j.1526-100X.2007.00285.x" TargetMode="External" /><Relationship Type="http://schemas.openxmlformats.org/officeDocument/2006/relationships/hyperlink" Id="rId102" Target="https://doi.org/10.1111/j.1752-1688.2000.tb05717.x" TargetMode="External" /><Relationship Type="http://schemas.openxmlformats.org/officeDocument/2006/relationships/hyperlink" Id="rId147"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80" Target="https://doi.org/10.1111/jawr.12032" TargetMode="External" /><Relationship Type="http://schemas.openxmlformats.org/officeDocument/2006/relationships/hyperlink" Id="rId168" Target="https://doi.org/10.1111/jawr.12035" TargetMode="External" /><Relationship Type="http://schemas.openxmlformats.org/officeDocument/2006/relationships/hyperlink" Id="rId71" Target="https://doi.org/10.1177/0739456X03022004007" TargetMode="External" /><Relationship Type="http://schemas.openxmlformats.org/officeDocument/2006/relationships/hyperlink" Id="rId182" Target="https://doi.org/10.1371/journal.pone.0090944" TargetMode="External" /><Relationship Type="http://schemas.openxmlformats.org/officeDocument/2006/relationships/hyperlink" Id="rId186" Target="https://doi.org/10.1577/1548-8446(1997)022%3C0006:IOWLUO%3E2.0.CO;2" TargetMode="External" /><Relationship Type="http://schemas.openxmlformats.org/officeDocument/2006/relationships/hyperlink" Id="rId64" Target="https://doi.org/10.1577/M06-174.1" TargetMode="External" /><Relationship Type="http://schemas.openxmlformats.org/officeDocument/2006/relationships/hyperlink" Id="rId172" Target="https://doi.org/10.1890/1051-0761(2006)016%5B1267:SEFTEC%5D2.0.CO;2" TargetMode="External" /><Relationship Type="http://schemas.openxmlformats.org/officeDocument/2006/relationships/hyperlink" Id="rId184" Target="https://doi.org/10.1899/04-028.1" TargetMode="External" /><Relationship Type="http://schemas.openxmlformats.org/officeDocument/2006/relationships/hyperlink" Id="rId80"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2" Target="https://doi.org/10.1899/0887-3593(2004)023%3C0599:BWRSUO%3E2.0.CO;2" TargetMode="External" /><Relationship Type="http://schemas.openxmlformats.org/officeDocument/2006/relationships/hyperlink" Id="rId158" Target="https://doi.org/10.2307/1468175" TargetMode="External" /><Relationship Type="http://schemas.openxmlformats.org/officeDocument/2006/relationships/hyperlink" Id="rId96" Target="https://doi.org/10.2307/41416699" TargetMode="External" /><Relationship Type="http://schemas.openxmlformats.org/officeDocument/2006/relationships/hyperlink" Id="rId125"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2" Target="https://www.waterboards.ca.gov/water_issues/programs/swamp/bioassessment/docs/combined_sop_2016.pdf" TargetMode="External" /><Relationship Type="http://schemas.openxmlformats.org/officeDocument/2006/relationships/hyperlink" Id="rId156" Target="https://www.waterboards.ca.gov/water_issues/programs/swamp/bioassessment/docs/physical_habitat_index_technical_memo.pdf" TargetMode="External" /><Relationship Type="http://schemas.openxmlformats.org/officeDocument/2006/relationships/hyperlink" Id="rId154" Target="https://www.waterboards.ca.gov/water_issues/programs/swamp/bioassessment/docs/psa_memo_121015.pdf" TargetMode="External" /><Relationship Type="http://schemas.openxmlformats.org/officeDocument/2006/relationships/hyperlink" Id="rId144"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2" Target="http://doi.org/10.5281/zenodo.1218121" TargetMode="External" /><Relationship Type="http://schemas.openxmlformats.org/officeDocument/2006/relationships/hyperlink" Id="rId41"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09" Target="https://doi.org/10.1002/eap.1617" TargetMode="External" /><Relationship Type="http://schemas.openxmlformats.org/officeDocument/2006/relationships/hyperlink" Id="rId170" Target="https://doi.org/10.1002/eco.1869" TargetMode="External" /><Relationship Type="http://schemas.openxmlformats.org/officeDocument/2006/relationships/hyperlink" Id="rId90" Target="https://doi.org/10.1002/rra.1053" TargetMode="External" /><Relationship Type="http://schemas.openxmlformats.org/officeDocument/2006/relationships/hyperlink" Id="rId123" Target="https://doi.org/10.1007%2Fs00267-008-9151-1" TargetMode="External" /><Relationship Type="http://schemas.openxmlformats.org/officeDocument/2006/relationships/hyperlink" Id="rId84" Target="https://doi.org/10.1007/s10661-008-0256-z" TargetMode="External" /><Relationship Type="http://schemas.openxmlformats.org/officeDocument/2006/relationships/hyperlink" Id="rId165"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5" Target="https://doi.org/10.1007/s10661-017-6025-0" TargetMode="External" /><Relationship Type="http://schemas.openxmlformats.org/officeDocument/2006/relationships/hyperlink" Id="rId152" Target="https://doi.org/10.1016/j.biocon.2008.07.014" TargetMode="External" /><Relationship Type="http://schemas.openxmlformats.org/officeDocument/2006/relationships/hyperlink" Id="rId86" Target="https://doi.org/10.1016/j.ecolind.2013.07.006" TargetMode="External" /><Relationship Type="http://schemas.openxmlformats.org/officeDocument/2006/relationships/hyperlink" Id="rId149"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78" Target="https://doi.org/10.1023/A:1023374524254" TargetMode="External" /><Relationship Type="http://schemas.openxmlformats.org/officeDocument/2006/relationships/hyperlink" Id="rId99" Target="https://doi.org/10.1038/sdata.2015.73" TargetMode="External" /><Relationship Type="http://schemas.openxmlformats.org/officeDocument/2006/relationships/hyperlink" Id="rId117" Target="https://doi.org/10.1046/j.1365-2427.1997.d01-539.x" TargetMode="External" /><Relationship Type="http://schemas.openxmlformats.org/officeDocument/2006/relationships/hyperlink" Id="rId160" Target="https://doi.org/10.1046/j.1365-2427.1997.d01-540.x" TargetMode="External" /><Relationship Type="http://schemas.openxmlformats.org/officeDocument/2006/relationships/hyperlink" Id="rId57" Target="https://doi.org/10.1046/j.1365-2427.1997.d01-546.x" TargetMode="External" /><Relationship Type="http://schemas.openxmlformats.org/officeDocument/2006/relationships/hyperlink" Id="rId174" Target="https://doi.org/10.1046/j.1365-2427.1998.00272.x" TargetMode="External" /><Relationship Type="http://schemas.openxmlformats.org/officeDocument/2006/relationships/hyperlink" Id="rId115" Target="https://doi.org/10.1080/03680770.1974.11896033" TargetMode="External" /><Relationship Type="http://schemas.openxmlformats.org/officeDocument/2006/relationships/hyperlink" Id="rId130" Target="https://doi.org/10.1086/675683" TargetMode="External" /><Relationship Type="http://schemas.openxmlformats.org/officeDocument/2006/relationships/hyperlink" Id="rId88" Target="https://doi.org/10.1086/678701" TargetMode="External" /><Relationship Type="http://schemas.openxmlformats.org/officeDocument/2006/relationships/hyperlink" Id="rId113" Target="https://doi.org/10.1086/697996" TargetMode="External" /><Relationship Type="http://schemas.openxmlformats.org/officeDocument/2006/relationships/hyperlink" Id="rId111" Target="https://doi.org/10.1111/1752-1688.12372" TargetMode="External" /><Relationship Type="http://schemas.openxmlformats.org/officeDocument/2006/relationships/hyperlink" Id="rId163"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59" Target="https://doi.org/10.1111/j.1365-2427.2006.01685.x" TargetMode="External" /><Relationship Type="http://schemas.openxmlformats.org/officeDocument/2006/relationships/hyperlink" Id="rId94" Target="https://doi.org/10.1111/j.1365-2427.2011.02696.x" TargetMode="External" /><Relationship Type="http://schemas.openxmlformats.org/officeDocument/2006/relationships/hyperlink" Id="rId66" Target="https://doi.org/10.1111/j.1526-100X.2007.00244.x" TargetMode="External" /><Relationship Type="http://schemas.openxmlformats.org/officeDocument/2006/relationships/hyperlink" Id="rId82" Target="https://doi.org/10.1111/j.1526-100X.2007.00285.x" TargetMode="External" /><Relationship Type="http://schemas.openxmlformats.org/officeDocument/2006/relationships/hyperlink" Id="rId102" Target="https://doi.org/10.1111/j.1752-1688.2000.tb05717.x" TargetMode="External" /><Relationship Type="http://schemas.openxmlformats.org/officeDocument/2006/relationships/hyperlink" Id="rId147"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80" Target="https://doi.org/10.1111/jawr.12032" TargetMode="External" /><Relationship Type="http://schemas.openxmlformats.org/officeDocument/2006/relationships/hyperlink" Id="rId168" Target="https://doi.org/10.1111/jawr.12035" TargetMode="External" /><Relationship Type="http://schemas.openxmlformats.org/officeDocument/2006/relationships/hyperlink" Id="rId71" Target="https://doi.org/10.1177/0739456X03022004007" TargetMode="External" /><Relationship Type="http://schemas.openxmlformats.org/officeDocument/2006/relationships/hyperlink" Id="rId182" Target="https://doi.org/10.1371/journal.pone.0090944" TargetMode="External" /><Relationship Type="http://schemas.openxmlformats.org/officeDocument/2006/relationships/hyperlink" Id="rId186" Target="https://doi.org/10.1577/1548-8446(1997)022%3C0006:IOWLUO%3E2.0.CO;2" TargetMode="External" /><Relationship Type="http://schemas.openxmlformats.org/officeDocument/2006/relationships/hyperlink" Id="rId64" Target="https://doi.org/10.1577/M06-174.1" TargetMode="External" /><Relationship Type="http://schemas.openxmlformats.org/officeDocument/2006/relationships/hyperlink" Id="rId172" Target="https://doi.org/10.1890/1051-0761(2006)016%5B1267:SEFTEC%5D2.0.CO;2" TargetMode="External" /><Relationship Type="http://schemas.openxmlformats.org/officeDocument/2006/relationships/hyperlink" Id="rId184" Target="https://doi.org/10.1899/04-028.1" TargetMode="External" /><Relationship Type="http://schemas.openxmlformats.org/officeDocument/2006/relationships/hyperlink" Id="rId80"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2" Target="https://doi.org/10.1899/0887-3593(2004)023%3C0599:BWRSUO%3E2.0.CO;2" TargetMode="External" /><Relationship Type="http://schemas.openxmlformats.org/officeDocument/2006/relationships/hyperlink" Id="rId158" Target="https://doi.org/10.2307/1468175" TargetMode="External" /><Relationship Type="http://schemas.openxmlformats.org/officeDocument/2006/relationships/hyperlink" Id="rId96" Target="https://doi.org/10.2307/41416699" TargetMode="External" /><Relationship Type="http://schemas.openxmlformats.org/officeDocument/2006/relationships/hyperlink" Id="rId125"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2" Target="https://www.waterboards.ca.gov/water_issues/programs/swamp/bioassessment/docs/combined_sop_2016.pdf" TargetMode="External" /><Relationship Type="http://schemas.openxmlformats.org/officeDocument/2006/relationships/hyperlink" Id="rId156" Target="https://www.waterboards.ca.gov/water_issues/programs/swamp/bioassessment/docs/physical_habitat_index_technical_memo.pdf" TargetMode="External" /><Relationship Type="http://schemas.openxmlformats.org/officeDocument/2006/relationships/hyperlink" Id="rId154" Target="https://www.waterboards.ca.gov/water_issues/programs/swamp/bioassessment/docs/psa_memo_121015.pdf" TargetMode="External" /><Relationship Type="http://schemas.openxmlformats.org/officeDocument/2006/relationships/hyperlink" Id="rId144"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2019-05-06T18:02:12Z</dcterms:created>
  <dcterms:modified xsi:type="dcterms:W3CDTF">2019-05-06T18:02:12Z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